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E408" w14:textId="3BBA43C9" w:rsidR="00794696" w:rsidRDefault="00385365" w:rsidP="00794696">
      <w:pPr>
        <w:rPr>
          <w:sz w:val="36"/>
          <w:szCs w:val="36"/>
        </w:rPr>
      </w:pPr>
      <w:r w:rsidRPr="00385365">
        <w:rPr>
          <w:sz w:val="36"/>
          <w:szCs w:val="36"/>
        </w:rPr>
        <w:t xml:space="preserve">Summary of SCDC’s response to Scottish Parliament consultation of NPF4 </w:t>
      </w:r>
    </w:p>
    <w:p w14:paraId="73C74E95" w14:textId="401E9ECB" w:rsidR="00385365" w:rsidRDefault="00385365" w:rsidP="00794696">
      <w:pPr>
        <w:rPr>
          <w:sz w:val="36"/>
          <w:szCs w:val="36"/>
        </w:rPr>
      </w:pPr>
    </w:p>
    <w:p w14:paraId="71BEA48A" w14:textId="19E3FA25" w:rsidR="00385365" w:rsidRPr="00385365" w:rsidRDefault="00385365" w:rsidP="00794696">
      <w:pPr>
        <w:rPr>
          <w:b/>
          <w:bCs/>
          <w:sz w:val="28"/>
          <w:szCs w:val="28"/>
        </w:rPr>
      </w:pPr>
      <w:r w:rsidRPr="00385365">
        <w:rPr>
          <w:b/>
          <w:bCs/>
          <w:sz w:val="28"/>
          <w:szCs w:val="28"/>
        </w:rPr>
        <w:t>Intro</w:t>
      </w:r>
    </w:p>
    <w:p w14:paraId="65C01CC4" w14:textId="77777777" w:rsidR="00385365" w:rsidRDefault="00385365" w:rsidP="00794696">
      <w:pPr>
        <w:rPr>
          <w:sz w:val="24"/>
          <w:szCs w:val="24"/>
        </w:rPr>
      </w:pPr>
      <w:r w:rsidRPr="00385365">
        <w:rPr>
          <w:sz w:val="24"/>
          <w:szCs w:val="24"/>
        </w:rPr>
        <w:t>The Scottish Government has published its fourth National Planning Framework (NPF4).  It sets out how places and environments will be planned and designed in the years to come. </w:t>
      </w:r>
    </w:p>
    <w:p w14:paraId="5FD229D0" w14:textId="62D07395" w:rsidR="00385365" w:rsidRDefault="00385365" w:rsidP="00794696">
      <w:pPr>
        <w:rPr>
          <w:sz w:val="24"/>
          <w:szCs w:val="24"/>
        </w:rPr>
      </w:pPr>
      <w:r w:rsidRPr="00385365">
        <w:rPr>
          <w:sz w:val="24"/>
          <w:szCs w:val="24"/>
        </w:rPr>
        <w:t>NPF4 is described as a long</w:t>
      </w:r>
      <w:r w:rsidR="00236360">
        <w:rPr>
          <w:sz w:val="24"/>
          <w:szCs w:val="24"/>
        </w:rPr>
        <w:t>-</w:t>
      </w:r>
      <w:r w:rsidRPr="00385365">
        <w:rPr>
          <w:sz w:val="24"/>
          <w:szCs w:val="24"/>
        </w:rPr>
        <w:t>term plan for Scotland that sets out how the Scottish Government’s approach to planning and development will help to achieve a net-zero, sustainable Scotland by 2045.</w:t>
      </w:r>
    </w:p>
    <w:p w14:paraId="5A001D94" w14:textId="161C8976" w:rsidR="00385365" w:rsidRPr="00385365" w:rsidRDefault="00B90E58" w:rsidP="00794696">
      <w:pPr>
        <w:rPr>
          <w:sz w:val="24"/>
          <w:szCs w:val="24"/>
        </w:rPr>
      </w:pPr>
      <w:hyperlink r:id="rId5" w:anchor="?id=3904" w:tgtFrame="_blank" w:history="1">
        <w:r w:rsidR="00385365" w:rsidRPr="00385365">
          <w:rPr>
            <w:rStyle w:val="Hyperlink"/>
            <w:sz w:val="24"/>
            <w:szCs w:val="24"/>
          </w:rPr>
          <w:t>You can read the NPF4 here</w:t>
        </w:r>
      </w:hyperlink>
      <w:r w:rsidR="00385365" w:rsidRPr="00385365">
        <w:rPr>
          <w:sz w:val="24"/>
          <w:szCs w:val="24"/>
        </w:rPr>
        <w:t>.</w:t>
      </w:r>
    </w:p>
    <w:p w14:paraId="7F801F41" w14:textId="25EF83FD" w:rsidR="00D72DDB" w:rsidRDefault="00D72DDB" w:rsidP="00794696">
      <w:pPr>
        <w:rPr>
          <w:sz w:val="24"/>
          <w:szCs w:val="24"/>
        </w:rPr>
      </w:pPr>
    </w:p>
    <w:p w14:paraId="3E5C573B" w14:textId="2A53D883" w:rsidR="00385365" w:rsidRDefault="00385365" w:rsidP="00794696">
      <w:pPr>
        <w:rPr>
          <w:b/>
          <w:bCs/>
          <w:sz w:val="28"/>
          <w:szCs w:val="28"/>
        </w:rPr>
      </w:pPr>
      <w:r w:rsidRPr="00385365">
        <w:rPr>
          <w:b/>
          <w:bCs/>
          <w:sz w:val="28"/>
          <w:szCs w:val="28"/>
        </w:rPr>
        <w:t>Consultations</w:t>
      </w:r>
    </w:p>
    <w:p w14:paraId="6DA5EDBB" w14:textId="38DB2C82" w:rsidR="00385365" w:rsidRDefault="00385365" w:rsidP="00794696">
      <w:pPr>
        <w:rPr>
          <w:sz w:val="24"/>
          <w:szCs w:val="24"/>
        </w:rPr>
      </w:pPr>
      <w:r>
        <w:rPr>
          <w:sz w:val="24"/>
          <w:szCs w:val="24"/>
        </w:rPr>
        <w:t>The Scottish Government is currently seeking views on NPF4, and its consultation is open until 31</w:t>
      </w:r>
      <w:r w:rsidRPr="00385365">
        <w:rPr>
          <w:sz w:val="24"/>
          <w:szCs w:val="24"/>
          <w:vertAlign w:val="superscript"/>
        </w:rPr>
        <w:t>st</w:t>
      </w:r>
      <w:r>
        <w:rPr>
          <w:sz w:val="24"/>
          <w:szCs w:val="24"/>
        </w:rPr>
        <w:t xml:space="preserve"> March 2022. You can find the consultation on the Scottish Government’s </w:t>
      </w:r>
      <w:hyperlink r:id="rId6" w:history="1">
        <w:r w:rsidRPr="00385365">
          <w:rPr>
            <w:rStyle w:val="Hyperlink"/>
            <w:sz w:val="24"/>
            <w:szCs w:val="24"/>
          </w:rPr>
          <w:t>consultation portal</w:t>
        </w:r>
      </w:hyperlink>
      <w:r>
        <w:rPr>
          <w:sz w:val="24"/>
          <w:szCs w:val="24"/>
        </w:rPr>
        <w:t>.</w:t>
      </w:r>
      <w:r w:rsidR="004E6B84">
        <w:rPr>
          <w:sz w:val="24"/>
          <w:szCs w:val="24"/>
        </w:rPr>
        <w:t xml:space="preserve"> SCDC intends to submit a response.</w:t>
      </w:r>
    </w:p>
    <w:p w14:paraId="3E9099F4" w14:textId="7DEDBFAB" w:rsidR="00385365" w:rsidRDefault="00385365" w:rsidP="00794696">
      <w:pPr>
        <w:rPr>
          <w:sz w:val="24"/>
          <w:szCs w:val="24"/>
        </w:rPr>
      </w:pPr>
      <w:r>
        <w:rPr>
          <w:sz w:val="24"/>
          <w:szCs w:val="24"/>
        </w:rPr>
        <w:t>SCDC has already contributed to a separate Scottish Parliament consultation on NPF4</w:t>
      </w:r>
      <w:r w:rsidR="004E6B84">
        <w:rPr>
          <w:sz w:val="24"/>
          <w:szCs w:val="24"/>
        </w:rPr>
        <w:t xml:space="preserve">. </w:t>
      </w:r>
      <w:hyperlink r:id="rId7" w:history="1">
        <w:r w:rsidR="004E6B84" w:rsidRPr="004E6B84">
          <w:rPr>
            <w:rStyle w:val="Hyperlink"/>
            <w:sz w:val="24"/>
            <w:szCs w:val="24"/>
          </w:rPr>
          <w:t>Click here to find our response alongside other published responses</w:t>
        </w:r>
      </w:hyperlink>
      <w:r w:rsidR="004E6B84">
        <w:rPr>
          <w:sz w:val="24"/>
          <w:szCs w:val="24"/>
        </w:rPr>
        <w:t xml:space="preserve">. We’ve also summarised the main points of this response below. You may find it helpful if you are thinking of engaging with the current Scottish Government consultation, or you may wish to speak to us </w:t>
      </w:r>
      <w:proofErr w:type="gramStart"/>
      <w:r w:rsidR="004E6B84">
        <w:rPr>
          <w:sz w:val="24"/>
          <w:szCs w:val="24"/>
        </w:rPr>
        <w:t>in order to</w:t>
      </w:r>
      <w:proofErr w:type="gramEnd"/>
      <w:r w:rsidR="004E6B84">
        <w:rPr>
          <w:sz w:val="24"/>
          <w:szCs w:val="24"/>
        </w:rPr>
        <w:t xml:space="preserve"> help improve our respons</w:t>
      </w:r>
      <w:r w:rsidR="00D72DDB">
        <w:rPr>
          <w:sz w:val="24"/>
          <w:szCs w:val="24"/>
        </w:rPr>
        <w:t>e.</w:t>
      </w:r>
      <w:r w:rsidR="004E6B84">
        <w:rPr>
          <w:sz w:val="24"/>
          <w:szCs w:val="24"/>
        </w:rPr>
        <w:t xml:space="preserve"> </w:t>
      </w:r>
    </w:p>
    <w:p w14:paraId="68CA754E" w14:textId="24DEF6BD" w:rsidR="004E6B84" w:rsidRDefault="004E6B84" w:rsidP="00794696">
      <w:pPr>
        <w:rPr>
          <w:sz w:val="24"/>
          <w:szCs w:val="24"/>
        </w:rPr>
      </w:pPr>
    </w:p>
    <w:p w14:paraId="18AC6EA1" w14:textId="2DB57E9E" w:rsidR="00D72DDB" w:rsidRPr="00D72DDB" w:rsidRDefault="00D72DDB" w:rsidP="00794696">
      <w:pPr>
        <w:rPr>
          <w:b/>
          <w:bCs/>
          <w:sz w:val="28"/>
          <w:szCs w:val="28"/>
        </w:rPr>
      </w:pPr>
      <w:r>
        <w:rPr>
          <w:b/>
          <w:bCs/>
          <w:sz w:val="28"/>
          <w:szCs w:val="28"/>
        </w:rPr>
        <w:t>Our key points so far</w:t>
      </w:r>
    </w:p>
    <w:p w14:paraId="0F4D3110" w14:textId="5B33A7C0" w:rsidR="0083003E" w:rsidRDefault="0083003E" w:rsidP="0083003E">
      <w:pPr>
        <w:rPr>
          <w:sz w:val="24"/>
          <w:szCs w:val="24"/>
        </w:rPr>
      </w:pPr>
    </w:p>
    <w:p w14:paraId="67B7694F" w14:textId="6A79DB9D" w:rsidR="00D72DDB" w:rsidRDefault="00D72DDB" w:rsidP="0083003E">
      <w:pPr>
        <w:rPr>
          <w:b/>
          <w:bCs/>
          <w:sz w:val="24"/>
          <w:szCs w:val="24"/>
        </w:rPr>
      </w:pPr>
      <w:r>
        <w:rPr>
          <w:b/>
          <w:bCs/>
          <w:sz w:val="24"/>
          <w:szCs w:val="24"/>
        </w:rPr>
        <w:t xml:space="preserve">A need for stronger commitments </w:t>
      </w:r>
    </w:p>
    <w:p w14:paraId="728B4853" w14:textId="77777777" w:rsidR="005B3B07" w:rsidRDefault="00D72DDB" w:rsidP="0083003E">
      <w:pPr>
        <w:rPr>
          <w:sz w:val="24"/>
          <w:szCs w:val="24"/>
        </w:rPr>
      </w:pPr>
      <w:r>
        <w:rPr>
          <w:sz w:val="24"/>
          <w:szCs w:val="24"/>
        </w:rPr>
        <w:t xml:space="preserve">SCDC </w:t>
      </w:r>
      <w:r w:rsidR="005B3B07">
        <w:rPr>
          <w:sz w:val="24"/>
          <w:szCs w:val="24"/>
        </w:rPr>
        <w:t xml:space="preserve">agrees </w:t>
      </w:r>
      <w:r>
        <w:rPr>
          <w:sz w:val="24"/>
          <w:szCs w:val="24"/>
        </w:rPr>
        <w:t xml:space="preserve">with </w:t>
      </w:r>
      <w:r w:rsidR="005B3B07">
        <w:rPr>
          <w:sz w:val="24"/>
          <w:szCs w:val="24"/>
        </w:rPr>
        <w:t>many ambitions</w:t>
      </w:r>
      <w:r>
        <w:rPr>
          <w:sz w:val="24"/>
          <w:szCs w:val="24"/>
        </w:rPr>
        <w:t xml:space="preserve"> of </w:t>
      </w:r>
      <w:r w:rsidR="00775344">
        <w:rPr>
          <w:sz w:val="24"/>
          <w:szCs w:val="24"/>
        </w:rPr>
        <w:t xml:space="preserve">NPF4, including aiming for net-zero planning, building a wellbeing economy, promoting equality and human </w:t>
      </w:r>
      <w:proofErr w:type="gramStart"/>
      <w:r w:rsidR="00775344">
        <w:rPr>
          <w:sz w:val="24"/>
          <w:szCs w:val="24"/>
        </w:rPr>
        <w:t>rights</w:t>
      </w:r>
      <w:proofErr w:type="gramEnd"/>
      <w:r w:rsidR="00775344">
        <w:rPr>
          <w:sz w:val="24"/>
          <w:szCs w:val="24"/>
        </w:rPr>
        <w:t xml:space="preserve"> and increasing community </w:t>
      </w:r>
      <w:r w:rsidR="00775344" w:rsidRPr="00385365">
        <w:rPr>
          <w:sz w:val="24"/>
          <w:szCs w:val="24"/>
        </w:rPr>
        <w:t>participation and empowerment</w:t>
      </w:r>
      <w:r w:rsidR="005B3B07">
        <w:rPr>
          <w:sz w:val="24"/>
          <w:szCs w:val="24"/>
        </w:rPr>
        <w:t xml:space="preserve">. However, the framework needs to make stronger statements for each ambition </w:t>
      </w:r>
      <w:proofErr w:type="gramStart"/>
      <w:r w:rsidR="005B3B07">
        <w:rPr>
          <w:sz w:val="24"/>
          <w:szCs w:val="24"/>
        </w:rPr>
        <w:t>in order to</w:t>
      </w:r>
      <w:proofErr w:type="gramEnd"/>
      <w:r w:rsidR="005B3B07">
        <w:rPr>
          <w:sz w:val="24"/>
          <w:szCs w:val="24"/>
        </w:rPr>
        <w:t xml:space="preserve"> help achieve them.</w:t>
      </w:r>
    </w:p>
    <w:p w14:paraId="6D8845EE" w14:textId="7D6DA21F" w:rsidR="0083003E" w:rsidRPr="00385365" w:rsidRDefault="005B3B07" w:rsidP="0083003E">
      <w:pPr>
        <w:rPr>
          <w:rStyle w:val="Strong"/>
          <w:b w:val="0"/>
          <w:bCs w:val="0"/>
          <w:sz w:val="24"/>
          <w:szCs w:val="24"/>
        </w:rPr>
      </w:pPr>
      <w:r>
        <w:rPr>
          <w:sz w:val="24"/>
          <w:szCs w:val="24"/>
        </w:rPr>
        <w:t xml:space="preserve">To help achieve net-zero, for instance, </w:t>
      </w:r>
      <w:r>
        <w:rPr>
          <w:rStyle w:val="Strong"/>
          <w:b w:val="0"/>
          <w:bCs w:val="0"/>
          <w:sz w:val="24"/>
          <w:szCs w:val="24"/>
        </w:rPr>
        <w:t>l</w:t>
      </w:r>
      <w:r w:rsidRPr="00385365">
        <w:rPr>
          <w:rStyle w:val="Strong"/>
          <w:b w:val="0"/>
          <w:bCs w:val="0"/>
          <w:sz w:val="24"/>
          <w:szCs w:val="24"/>
        </w:rPr>
        <w:t>ow-carbon and zero-carbon design, sustainable transport and renewable energy</w:t>
      </w:r>
      <w:r>
        <w:rPr>
          <w:rStyle w:val="Strong"/>
          <w:b w:val="0"/>
          <w:bCs w:val="0"/>
          <w:sz w:val="24"/>
          <w:szCs w:val="24"/>
        </w:rPr>
        <w:t xml:space="preserve"> </w:t>
      </w:r>
      <w:proofErr w:type="gramStart"/>
      <w:r>
        <w:rPr>
          <w:rStyle w:val="Strong"/>
          <w:b w:val="0"/>
          <w:bCs w:val="0"/>
          <w:sz w:val="24"/>
          <w:szCs w:val="24"/>
        </w:rPr>
        <w:t>have to</w:t>
      </w:r>
      <w:proofErr w:type="gramEnd"/>
      <w:r>
        <w:rPr>
          <w:rStyle w:val="Strong"/>
          <w:b w:val="0"/>
          <w:bCs w:val="0"/>
          <w:sz w:val="24"/>
          <w:szCs w:val="24"/>
        </w:rPr>
        <w:t xml:space="preserve"> be stated as </w:t>
      </w:r>
      <w:r w:rsidRPr="00385365">
        <w:rPr>
          <w:rStyle w:val="Strong"/>
          <w:b w:val="0"/>
          <w:bCs w:val="0"/>
          <w:sz w:val="24"/>
          <w:szCs w:val="24"/>
        </w:rPr>
        <w:t xml:space="preserve">requirements, or conditions, for sustainable planning, rather than as things to be encouraged. </w:t>
      </w:r>
      <w:r w:rsidR="00314CE1">
        <w:rPr>
          <w:rStyle w:val="Strong"/>
          <w:b w:val="0"/>
          <w:bCs w:val="0"/>
          <w:sz w:val="24"/>
          <w:szCs w:val="24"/>
        </w:rPr>
        <w:t xml:space="preserve">There should also be </w:t>
      </w:r>
      <w:r w:rsidR="001628F1" w:rsidRPr="00385365">
        <w:rPr>
          <w:rStyle w:val="Strong"/>
          <w:b w:val="0"/>
          <w:bCs w:val="0"/>
          <w:sz w:val="24"/>
          <w:szCs w:val="24"/>
        </w:rPr>
        <w:t xml:space="preserve">a clear statement that </w:t>
      </w:r>
      <w:r w:rsidR="0083003E" w:rsidRPr="00385365">
        <w:rPr>
          <w:rStyle w:val="Strong"/>
          <w:b w:val="0"/>
          <w:bCs w:val="0"/>
          <w:sz w:val="24"/>
          <w:szCs w:val="24"/>
        </w:rPr>
        <w:t>planning which will undermine Scotland’s aim of achieving net zero</w:t>
      </w:r>
      <w:r w:rsidR="001628F1" w:rsidRPr="00385365">
        <w:rPr>
          <w:rStyle w:val="Strong"/>
          <w:b w:val="0"/>
          <w:bCs w:val="0"/>
          <w:sz w:val="24"/>
          <w:szCs w:val="24"/>
        </w:rPr>
        <w:t xml:space="preserve"> should be avoided, such</w:t>
      </w:r>
      <w:r w:rsidR="003F4B96" w:rsidRPr="00385365">
        <w:rPr>
          <w:rStyle w:val="Strong"/>
          <w:b w:val="0"/>
          <w:bCs w:val="0"/>
          <w:sz w:val="24"/>
          <w:szCs w:val="24"/>
        </w:rPr>
        <w:t xml:space="preserve"> as</w:t>
      </w:r>
      <w:r w:rsidR="0083003E" w:rsidRPr="00385365">
        <w:rPr>
          <w:rStyle w:val="Strong"/>
          <w:b w:val="0"/>
          <w:bCs w:val="0"/>
          <w:sz w:val="24"/>
          <w:szCs w:val="24"/>
        </w:rPr>
        <w:t xml:space="preserve"> high/medium-carbon design, unsustainable </w:t>
      </w:r>
      <w:proofErr w:type="gramStart"/>
      <w:r w:rsidR="0083003E" w:rsidRPr="00385365">
        <w:rPr>
          <w:rStyle w:val="Strong"/>
          <w:b w:val="0"/>
          <w:bCs w:val="0"/>
          <w:sz w:val="24"/>
          <w:szCs w:val="24"/>
        </w:rPr>
        <w:t>transport</w:t>
      </w:r>
      <w:proofErr w:type="gramEnd"/>
      <w:r w:rsidR="0083003E" w:rsidRPr="00385365">
        <w:rPr>
          <w:rStyle w:val="Strong"/>
          <w:b w:val="0"/>
          <w:bCs w:val="0"/>
          <w:sz w:val="24"/>
          <w:szCs w:val="24"/>
        </w:rPr>
        <w:t xml:space="preserve"> and fossil-fuel energy</w:t>
      </w:r>
      <w:r w:rsidR="001628F1" w:rsidRPr="00385365">
        <w:rPr>
          <w:rStyle w:val="Strong"/>
          <w:b w:val="0"/>
          <w:bCs w:val="0"/>
          <w:sz w:val="24"/>
          <w:szCs w:val="24"/>
        </w:rPr>
        <w:t>.</w:t>
      </w:r>
    </w:p>
    <w:p w14:paraId="1E5DA7EE" w14:textId="41F615B1" w:rsidR="00314CE1" w:rsidRDefault="00314CE1" w:rsidP="0083003E">
      <w:pPr>
        <w:rPr>
          <w:rFonts w:cs="Arial"/>
          <w:sz w:val="24"/>
          <w:szCs w:val="24"/>
        </w:rPr>
      </w:pPr>
      <w:r>
        <w:rPr>
          <w:rStyle w:val="Strong"/>
          <w:b w:val="0"/>
          <w:bCs w:val="0"/>
          <w:sz w:val="24"/>
          <w:szCs w:val="24"/>
        </w:rPr>
        <w:lastRenderedPageBreak/>
        <w:t>Similarly</w:t>
      </w:r>
      <w:r w:rsidR="000F6B0C">
        <w:rPr>
          <w:rStyle w:val="Strong"/>
          <w:b w:val="0"/>
          <w:bCs w:val="0"/>
          <w:sz w:val="24"/>
          <w:szCs w:val="24"/>
        </w:rPr>
        <w:t>,</w:t>
      </w:r>
      <w:r>
        <w:rPr>
          <w:rStyle w:val="Strong"/>
          <w:b w:val="0"/>
          <w:bCs w:val="0"/>
          <w:sz w:val="24"/>
          <w:szCs w:val="24"/>
        </w:rPr>
        <w:t xml:space="preserve"> to help achieve a wellbeing economy, the framework needs to state clearly that </w:t>
      </w:r>
      <w:r w:rsidRPr="00385365">
        <w:rPr>
          <w:rFonts w:cs="Arial"/>
          <w:sz w:val="24"/>
          <w:szCs w:val="24"/>
        </w:rPr>
        <w:t>new investment</w:t>
      </w:r>
      <w:r>
        <w:rPr>
          <w:rFonts w:cs="Arial"/>
          <w:sz w:val="24"/>
          <w:szCs w:val="24"/>
        </w:rPr>
        <w:t xml:space="preserve"> and other support for business and entrepreneurship will be supported</w:t>
      </w:r>
      <w:r w:rsidR="000F6B0C">
        <w:rPr>
          <w:rFonts w:cs="Arial"/>
          <w:sz w:val="24"/>
          <w:szCs w:val="24"/>
        </w:rPr>
        <w:t xml:space="preserve"> </w:t>
      </w:r>
      <w:r w:rsidRPr="00385365">
        <w:rPr>
          <w:rFonts w:cs="Arial"/>
          <w:i/>
          <w:iCs/>
          <w:sz w:val="24"/>
          <w:szCs w:val="24"/>
        </w:rPr>
        <w:t xml:space="preserve">where </w:t>
      </w:r>
      <w:r w:rsidRPr="00385365">
        <w:rPr>
          <w:rFonts w:cs="Arial"/>
          <w:sz w:val="24"/>
          <w:szCs w:val="24"/>
        </w:rPr>
        <w:t>these improve social and environmental wellbeing.</w:t>
      </w:r>
      <w:r w:rsidR="008B5F13">
        <w:rPr>
          <w:rFonts w:cs="Arial"/>
          <w:sz w:val="24"/>
          <w:szCs w:val="24"/>
        </w:rPr>
        <w:t xml:space="preserve"> This point can be extended to human rights and equality. Put simply, a clear statement should be made that planning should only be carried out and supported </w:t>
      </w:r>
      <w:r w:rsidR="007800AE">
        <w:rPr>
          <w:rFonts w:cs="Arial"/>
          <w:sz w:val="24"/>
          <w:szCs w:val="24"/>
        </w:rPr>
        <w:t>where</w:t>
      </w:r>
      <w:r w:rsidR="008B5F13">
        <w:rPr>
          <w:rFonts w:cs="Arial"/>
          <w:sz w:val="24"/>
          <w:szCs w:val="24"/>
        </w:rPr>
        <w:t xml:space="preserve"> human rights and equality</w:t>
      </w:r>
      <w:r w:rsidR="007800AE">
        <w:rPr>
          <w:rFonts w:cs="Arial"/>
          <w:sz w:val="24"/>
          <w:szCs w:val="24"/>
        </w:rPr>
        <w:t xml:space="preserve"> are promoted, </w:t>
      </w:r>
      <w:proofErr w:type="gramStart"/>
      <w:r w:rsidR="007800AE">
        <w:rPr>
          <w:rFonts w:cs="Arial"/>
          <w:sz w:val="24"/>
          <w:szCs w:val="24"/>
        </w:rPr>
        <w:t>protected</w:t>
      </w:r>
      <w:proofErr w:type="gramEnd"/>
      <w:r w:rsidR="007800AE">
        <w:rPr>
          <w:rFonts w:cs="Arial"/>
          <w:sz w:val="24"/>
          <w:szCs w:val="24"/>
        </w:rPr>
        <w:t xml:space="preserve"> and fully taken into account.</w:t>
      </w:r>
    </w:p>
    <w:p w14:paraId="1D464AC9" w14:textId="2BF97595" w:rsidR="007800AE" w:rsidRDefault="007800AE" w:rsidP="0083003E">
      <w:pPr>
        <w:rPr>
          <w:rFonts w:cs="Arial"/>
          <w:sz w:val="24"/>
          <w:szCs w:val="24"/>
        </w:rPr>
      </w:pPr>
      <w:r>
        <w:rPr>
          <w:rFonts w:cs="Arial"/>
          <w:sz w:val="24"/>
          <w:szCs w:val="24"/>
        </w:rPr>
        <w:t xml:space="preserve">We say more on participation, empowerment, </w:t>
      </w:r>
      <w:proofErr w:type="gramStart"/>
      <w:r>
        <w:rPr>
          <w:rFonts w:cs="Arial"/>
          <w:sz w:val="24"/>
          <w:szCs w:val="24"/>
        </w:rPr>
        <w:t>inequality</w:t>
      </w:r>
      <w:proofErr w:type="gramEnd"/>
      <w:r>
        <w:rPr>
          <w:rFonts w:cs="Arial"/>
          <w:sz w:val="24"/>
          <w:szCs w:val="24"/>
        </w:rPr>
        <w:t xml:space="preserve"> and poverty below.</w:t>
      </w:r>
    </w:p>
    <w:p w14:paraId="33114323" w14:textId="0DEF0574" w:rsidR="008B5F13" w:rsidRDefault="008B5F13" w:rsidP="0083003E">
      <w:pPr>
        <w:rPr>
          <w:rStyle w:val="Strong"/>
          <w:b w:val="0"/>
          <w:bCs w:val="0"/>
          <w:sz w:val="24"/>
          <w:szCs w:val="24"/>
        </w:rPr>
      </w:pPr>
    </w:p>
    <w:p w14:paraId="403DFB85" w14:textId="588BE455" w:rsidR="00314CE1" w:rsidRDefault="007800AE" w:rsidP="0083003E">
      <w:pPr>
        <w:rPr>
          <w:rStyle w:val="Strong"/>
          <w:bCs w:val="0"/>
          <w:sz w:val="24"/>
          <w:szCs w:val="24"/>
        </w:rPr>
      </w:pPr>
      <w:r w:rsidRPr="007800AE">
        <w:rPr>
          <w:rStyle w:val="Strong"/>
          <w:bCs w:val="0"/>
          <w:sz w:val="24"/>
          <w:szCs w:val="24"/>
        </w:rPr>
        <w:t>A need for more detail</w:t>
      </w:r>
    </w:p>
    <w:p w14:paraId="27A84CF2" w14:textId="608E216C" w:rsidR="00E64F73" w:rsidRDefault="00E64F73" w:rsidP="0083003E">
      <w:pPr>
        <w:rPr>
          <w:rStyle w:val="Strong"/>
          <w:b w:val="0"/>
          <w:sz w:val="24"/>
          <w:szCs w:val="24"/>
        </w:rPr>
      </w:pPr>
      <w:r>
        <w:rPr>
          <w:rStyle w:val="Strong"/>
          <w:b w:val="0"/>
          <w:sz w:val="24"/>
          <w:szCs w:val="24"/>
        </w:rPr>
        <w:t>In addition to strengthening its ambitions, the NPF4 needs to provide more detail on</w:t>
      </w:r>
      <w:r w:rsidR="00B1634D">
        <w:rPr>
          <w:rStyle w:val="Strong"/>
          <w:b w:val="0"/>
          <w:sz w:val="24"/>
          <w:szCs w:val="24"/>
        </w:rPr>
        <w:t xml:space="preserve"> how</w:t>
      </w:r>
      <w:r>
        <w:rPr>
          <w:rStyle w:val="Strong"/>
          <w:b w:val="0"/>
          <w:sz w:val="24"/>
          <w:szCs w:val="24"/>
        </w:rPr>
        <w:t xml:space="preserve"> it will achieve them. </w:t>
      </w:r>
    </w:p>
    <w:p w14:paraId="66B515B0" w14:textId="4CD9895B" w:rsidR="00E64F73" w:rsidRDefault="00E64F73" w:rsidP="0083003E">
      <w:pPr>
        <w:rPr>
          <w:rStyle w:val="Strong"/>
          <w:b w:val="0"/>
          <w:sz w:val="24"/>
          <w:szCs w:val="24"/>
        </w:rPr>
      </w:pPr>
      <w:r>
        <w:rPr>
          <w:rStyle w:val="Strong"/>
          <w:b w:val="0"/>
          <w:sz w:val="24"/>
          <w:szCs w:val="24"/>
        </w:rPr>
        <w:t xml:space="preserve">In particular, the framework should say more about how it will empower </w:t>
      </w:r>
      <w:r w:rsidR="00E71995">
        <w:rPr>
          <w:rStyle w:val="Strong"/>
          <w:b w:val="0"/>
          <w:sz w:val="24"/>
          <w:szCs w:val="24"/>
        </w:rPr>
        <w:t xml:space="preserve">people in </w:t>
      </w:r>
      <w:r>
        <w:rPr>
          <w:rStyle w:val="Strong"/>
          <w:b w:val="0"/>
          <w:sz w:val="24"/>
          <w:szCs w:val="24"/>
        </w:rPr>
        <w:t>disadvantaged communities to shape planning</w:t>
      </w:r>
      <w:r w:rsidR="00E71995">
        <w:rPr>
          <w:rStyle w:val="Strong"/>
          <w:b w:val="0"/>
          <w:sz w:val="24"/>
          <w:szCs w:val="24"/>
        </w:rPr>
        <w:t xml:space="preserve"> and, as a result, have more control over what happens in and to their communities. We propose that this can be done in the following ways:</w:t>
      </w:r>
    </w:p>
    <w:p w14:paraId="5E2F279C" w14:textId="1E19043E" w:rsidR="00F31EC2" w:rsidRPr="00F31EC2" w:rsidRDefault="00F31EC2" w:rsidP="00F31EC2">
      <w:pPr>
        <w:pStyle w:val="ListParagraph"/>
        <w:numPr>
          <w:ilvl w:val="0"/>
          <w:numId w:val="5"/>
        </w:numPr>
        <w:rPr>
          <w:rStyle w:val="Strong"/>
          <w:b w:val="0"/>
          <w:bCs w:val="0"/>
          <w:sz w:val="24"/>
          <w:szCs w:val="24"/>
        </w:rPr>
      </w:pPr>
      <w:r w:rsidRPr="00F31EC2">
        <w:rPr>
          <w:rStyle w:val="Strong"/>
          <w:b w:val="0"/>
          <w:bCs w:val="0"/>
          <w:sz w:val="24"/>
          <w:szCs w:val="24"/>
        </w:rPr>
        <w:t xml:space="preserve">In addition to advocating planning </w:t>
      </w:r>
      <w:r w:rsidRPr="00F31EC2">
        <w:rPr>
          <w:rStyle w:val="Strong"/>
          <w:b w:val="0"/>
          <w:bCs w:val="0"/>
          <w:i/>
          <w:iCs/>
          <w:sz w:val="24"/>
          <w:szCs w:val="24"/>
        </w:rPr>
        <w:t xml:space="preserve">for </w:t>
      </w:r>
      <w:r w:rsidRPr="00F31EC2">
        <w:rPr>
          <w:rStyle w:val="Strong"/>
          <w:b w:val="0"/>
          <w:bCs w:val="0"/>
          <w:sz w:val="24"/>
          <w:szCs w:val="24"/>
        </w:rPr>
        <w:t xml:space="preserve">empowerment, </w:t>
      </w:r>
      <w:r>
        <w:rPr>
          <w:rStyle w:val="Strong"/>
          <w:b w:val="0"/>
          <w:bCs w:val="0"/>
          <w:sz w:val="24"/>
          <w:szCs w:val="24"/>
        </w:rPr>
        <w:t xml:space="preserve">NPF4 </w:t>
      </w:r>
      <w:r w:rsidRPr="00F31EC2">
        <w:rPr>
          <w:rStyle w:val="Strong"/>
          <w:b w:val="0"/>
          <w:bCs w:val="0"/>
          <w:sz w:val="24"/>
          <w:szCs w:val="24"/>
        </w:rPr>
        <w:t xml:space="preserve">needs to emphasise, or explain, how communities will be empowered to participate </w:t>
      </w:r>
      <w:r w:rsidRPr="00F31EC2">
        <w:rPr>
          <w:rStyle w:val="Strong"/>
          <w:b w:val="0"/>
          <w:bCs w:val="0"/>
          <w:i/>
          <w:iCs/>
          <w:sz w:val="24"/>
          <w:szCs w:val="24"/>
        </w:rPr>
        <w:t>in</w:t>
      </w:r>
      <w:r w:rsidRPr="00F31EC2">
        <w:rPr>
          <w:rStyle w:val="Strong"/>
          <w:b w:val="0"/>
          <w:bCs w:val="0"/>
          <w:sz w:val="24"/>
          <w:szCs w:val="24"/>
        </w:rPr>
        <w:t xml:space="preserve"> planning. </w:t>
      </w:r>
    </w:p>
    <w:p w14:paraId="03C17E69" w14:textId="3BB65D89" w:rsidR="00E71995" w:rsidRPr="00E71995" w:rsidRDefault="00E71995" w:rsidP="006A64B5">
      <w:pPr>
        <w:pStyle w:val="ListParagraph"/>
        <w:numPr>
          <w:ilvl w:val="0"/>
          <w:numId w:val="5"/>
        </w:numPr>
        <w:rPr>
          <w:rStyle w:val="Hyperlink"/>
          <w:rFonts w:cs="Arial"/>
          <w:color w:val="auto"/>
          <w:sz w:val="24"/>
          <w:szCs w:val="24"/>
        </w:rPr>
      </w:pPr>
      <w:r>
        <w:rPr>
          <w:rStyle w:val="Strong"/>
          <w:b w:val="0"/>
          <w:bCs w:val="0"/>
          <w:sz w:val="24"/>
          <w:szCs w:val="24"/>
        </w:rPr>
        <w:t>Given their reach into, understanding of, and trusted role in disadvantaged and marginalised communities, the role of c</w:t>
      </w:r>
      <w:r w:rsidRPr="00E71995">
        <w:rPr>
          <w:rStyle w:val="Strong"/>
          <w:b w:val="0"/>
          <w:bCs w:val="0"/>
          <w:sz w:val="24"/>
          <w:szCs w:val="24"/>
        </w:rPr>
        <w:t xml:space="preserve">ommunity and third sector organisations </w:t>
      </w:r>
      <w:r>
        <w:rPr>
          <w:rFonts w:cs="Arial"/>
          <w:sz w:val="24"/>
          <w:szCs w:val="24"/>
        </w:rPr>
        <w:t>as key partners should be stated throughout the framework</w:t>
      </w:r>
    </w:p>
    <w:p w14:paraId="1032967E" w14:textId="7F7927C2" w:rsidR="00504602" w:rsidRPr="00504602" w:rsidRDefault="00504602" w:rsidP="00504602">
      <w:pPr>
        <w:pStyle w:val="ListParagraph"/>
        <w:numPr>
          <w:ilvl w:val="0"/>
          <w:numId w:val="5"/>
        </w:numPr>
        <w:rPr>
          <w:rFonts w:cs="Arial"/>
          <w:sz w:val="24"/>
          <w:szCs w:val="24"/>
        </w:rPr>
      </w:pPr>
      <w:r>
        <w:rPr>
          <w:rFonts w:cs="Arial"/>
          <w:sz w:val="24"/>
          <w:szCs w:val="24"/>
        </w:rPr>
        <w:t>At the same time, community organisatio</w:t>
      </w:r>
      <w:r w:rsidR="00F31EC2">
        <w:rPr>
          <w:rFonts w:cs="Arial"/>
          <w:sz w:val="24"/>
          <w:szCs w:val="24"/>
        </w:rPr>
        <w:t>n is fragile i</w:t>
      </w:r>
      <w:r w:rsidRPr="00504602">
        <w:rPr>
          <w:rFonts w:cs="Arial"/>
          <w:sz w:val="24"/>
          <w:szCs w:val="24"/>
        </w:rPr>
        <w:t xml:space="preserve">n disadvantaged communities where there are fewer resources. </w:t>
      </w:r>
      <w:r w:rsidR="00F31EC2">
        <w:rPr>
          <w:rFonts w:cs="Arial"/>
          <w:sz w:val="24"/>
          <w:szCs w:val="24"/>
        </w:rPr>
        <w:t xml:space="preserve">There should be a clear commitment in NPF4 around </w:t>
      </w:r>
      <w:r w:rsidRPr="00504602">
        <w:rPr>
          <w:rFonts w:cs="Arial"/>
          <w:sz w:val="24"/>
          <w:szCs w:val="24"/>
        </w:rPr>
        <w:t>support and proactive engagement with marginalised and disadvantaged communities.</w:t>
      </w:r>
    </w:p>
    <w:p w14:paraId="59983D0B" w14:textId="5592FEBC" w:rsidR="00F31EC2" w:rsidRPr="00F31EC2" w:rsidRDefault="00FE13A6" w:rsidP="00F31EC2">
      <w:pPr>
        <w:pStyle w:val="ListParagraph"/>
        <w:numPr>
          <w:ilvl w:val="0"/>
          <w:numId w:val="5"/>
        </w:numPr>
        <w:rPr>
          <w:sz w:val="24"/>
          <w:szCs w:val="24"/>
        </w:rPr>
      </w:pPr>
      <w:r>
        <w:rPr>
          <w:sz w:val="24"/>
          <w:szCs w:val="24"/>
        </w:rPr>
        <w:t>Where</w:t>
      </w:r>
      <w:r w:rsidR="00F31EC2">
        <w:rPr>
          <w:sz w:val="24"/>
          <w:szCs w:val="24"/>
        </w:rPr>
        <w:t xml:space="preserve"> p</w:t>
      </w:r>
      <w:r w:rsidR="00F31EC2" w:rsidRPr="00F31EC2">
        <w:rPr>
          <w:sz w:val="24"/>
          <w:szCs w:val="24"/>
        </w:rPr>
        <w:t>lace-making</w:t>
      </w:r>
      <w:r w:rsidR="00F31EC2">
        <w:rPr>
          <w:sz w:val="24"/>
          <w:szCs w:val="24"/>
        </w:rPr>
        <w:t xml:space="preserve"> </w:t>
      </w:r>
      <w:r>
        <w:rPr>
          <w:sz w:val="24"/>
          <w:szCs w:val="24"/>
        </w:rPr>
        <w:t xml:space="preserve">is referred to, the role of </w:t>
      </w:r>
      <w:r w:rsidR="00F31EC2" w:rsidRPr="00F31EC2">
        <w:rPr>
          <w:sz w:val="24"/>
          <w:szCs w:val="24"/>
        </w:rPr>
        <w:t>community-led approaches</w:t>
      </w:r>
      <w:r>
        <w:rPr>
          <w:sz w:val="24"/>
          <w:szCs w:val="24"/>
        </w:rPr>
        <w:t xml:space="preserve"> should be emphasised </w:t>
      </w:r>
      <w:r w:rsidR="00F31EC2" w:rsidRPr="00F31EC2">
        <w:rPr>
          <w:sz w:val="24"/>
          <w:szCs w:val="24"/>
        </w:rPr>
        <w:t>which are key to ensuring that places reflect the priorities of those who live in them.</w:t>
      </w:r>
      <w:r>
        <w:rPr>
          <w:sz w:val="24"/>
          <w:szCs w:val="24"/>
        </w:rPr>
        <w:t xml:space="preserve"> This includes community-led action planning </w:t>
      </w:r>
      <w:r w:rsidR="00B1634D">
        <w:rPr>
          <w:sz w:val="24"/>
          <w:szCs w:val="24"/>
        </w:rPr>
        <w:t xml:space="preserve">and </w:t>
      </w:r>
      <w:r>
        <w:rPr>
          <w:sz w:val="24"/>
          <w:szCs w:val="24"/>
        </w:rPr>
        <w:t>community-led action research accompanied by community capacity building support.</w:t>
      </w:r>
    </w:p>
    <w:p w14:paraId="406AA71D" w14:textId="77777777" w:rsidR="00F31EC2" w:rsidRPr="00F31EC2" w:rsidRDefault="00F31EC2" w:rsidP="00F31EC2">
      <w:pPr>
        <w:pStyle w:val="ListParagraph"/>
        <w:numPr>
          <w:ilvl w:val="0"/>
          <w:numId w:val="5"/>
        </w:numPr>
        <w:rPr>
          <w:rFonts w:cs="Arial"/>
          <w:sz w:val="24"/>
          <w:szCs w:val="24"/>
        </w:rPr>
      </w:pPr>
      <w:r w:rsidRPr="00F31EC2">
        <w:rPr>
          <w:rFonts w:cs="Arial"/>
          <w:sz w:val="24"/>
          <w:szCs w:val="24"/>
        </w:rPr>
        <w:t xml:space="preserve">Sustainable planning, place-based approaches (including local place plans) and community-wealth building can be effective in helping to build sustainable and, indeed, distinctive communities if they are accompanied by good community engagement informed by the National Standards for Community Engagement and community capacity building support to ensure all groups in the community are empowered to </w:t>
      </w:r>
      <w:proofErr w:type="gramStart"/>
      <w:r w:rsidRPr="00F31EC2">
        <w:rPr>
          <w:rFonts w:cs="Arial"/>
          <w:sz w:val="24"/>
          <w:szCs w:val="24"/>
        </w:rPr>
        <w:t>take action</w:t>
      </w:r>
      <w:proofErr w:type="gramEnd"/>
      <w:r w:rsidRPr="00F31EC2">
        <w:rPr>
          <w:rFonts w:cs="Arial"/>
          <w:sz w:val="24"/>
          <w:szCs w:val="24"/>
        </w:rPr>
        <w:t>.</w:t>
      </w:r>
    </w:p>
    <w:p w14:paraId="515270E0" w14:textId="790341BE" w:rsidR="00FE13A6" w:rsidRDefault="00FE13A6" w:rsidP="00FE13A6">
      <w:pPr>
        <w:pStyle w:val="ListParagraph"/>
        <w:numPr>
          <w:ilvl w:val="0"/>
          <w:numId w:val="5"/>
        </w:numPr>
        <w:rPr>
          <w:sz w:val="24"/>
          <w:szCs w:val="24"/>
        </w:rPr>
      </w:pPr>
      <w:r>
        <w:rPr>
          <w:sz w:val="24"/>
          <w:szCs w:val="24"/>
        </w:rPr>
        <w:t>More r</w:t>
      </w:r>
      <w:r w:rsidRPr="00385365">
        <w:rPr>
          <w:sz w:val="24"/>
          <w:szCs w:val="24"/>
        </w:rPr>
        <w:t xml:space="preserve">eference should be made to the National Standards for Community Engagement, which are not statutory requirements in themselves, but are recognised within a range of wider legislation, by </w:t>
      </w:r>
      <w:r w:rsidR="00B1634D">
        <w:rPr>
          <w:sz w:val="24"/>
          <w:szCs w:val="24"/>
        </w:rPr>
        <w:t xml:space="preserve">Scottish Government and </w:t>
      </w:r>
      <w:r w:rsidRPr="00385365">
        <w:rPr>
          <w:sz w:val="24"/>
          <w:szCs w:val="24"/>
        </w:rPr>
        <w:t>a range of public bodies, as good-practice principles designed to improve and guide the process of community engagement. They are a way to ensure that engagement is early, collaborative, meaningful and includes all groups likely to be affected.</w:t>
      </w:r>
    </w:p>
    <w:p w14:paraId="25B1B6DE" w14:textId="77777777" w:rsidR="00FE1A02" w:rsidRPr="00385365" w:rsidRDefault="00FE1A02" w:rsidP="00FE1A02">
      <w:pPr>
        <w:pStyle w:val="ListParagraph"/>
        <w:numPr>
          <w:ilvl w:val="0"/>
          <w:numId w:val="5"/>
        </w:numPr>
        <w:rPr>
          <w:sz w:val="24"/>
          <w:szCs w:val="24"/>
        </w:rPr>
      </w:pPr>
      <w:r w:rsidRPr="00385365">
        <w:rPr>
          <w:sz w:val="24"/>
          <w:szCs w:val="24"/>
        </w:rPr>
        <w:lastRenderedPageBreak/>
        <w:t>We would also expect to see a requirement to conduct an equality impact assessment where appropriate, in addition to ensuring planning adheres to the Fairer Scotland Duty.</w:t>
      </w:r>
    </w:p>
    <w:p w14:paraId="4BBCD12E" w14:textId="0EAF8B21" w:rsidR="00FE1A02" w:rsidRPr="00236360" w:rsidRDefault="00FE1A02" w:rsidP="00236360">
      <w:pPr>
        <w:pStyle w:val="ListParagraph"/>
        <w:numPr>
          <w:ilvl w:val="0"/>
          <w:numId w:val="5"/>
        </w:numPr>
        <w:rPr>
          <w:sz w:val="24"/>
          <w:szCs w:val="24"/>
        </w:rPr>
      </w:pPr>
      <w:r w:rsidRPr="00385365">
        <w:rPr>
          <w:sz w:val="24"/>
          <w:szCs w:val="24"/>
        </w:rPr>
        <w:t>There should be a requirement for planning departments to build their own capacity, bringing in support where required, to understand and carry out effective community engagement that addresses inequality and promotes equality and human rights.</w:t>
      </w:r>
    </w:p>
    <w:p w14:paraId="50774079" w14:textId="24205E07" w:rsidR="00E71995" w:rsidRDefault="00E71995" w:rsidP="00FE13A6">
      <w:pPr>
        <w:rPr>
          <w:rStyle w:val="Strong"/>
          <w:b w:val="0"/>
          <w:sz w:val="24"/>
          <w:szCs w:val="24"/>
        </w:rPr>
      </w:pPr>
    </w:p>
    <w:p w14:paraId="08C3EA98" w14:textId="00D489DD" w:rsidR="00FE13A6" w:rsidRDefault="00FE13A6" w:rsidP="00FE13A6">
      <w:pPr>
        <w:rPr>
          <w:rStyle w:val="Strong"/>
          <w:bCs w:val="0"/>
          <w:sz w:val="24"/>
          <w:szCs w:val="24"/>
        </w:rPr>
      </w:pPr>
      <w:r w:rsidRPr="00FE13A6">
        <w:rPr>
          <w:rStyle w:val="Strong"/>
          <w:bCs w:val="0"/>
          <w:sz w:val="24"/>
          <w:szCs w:val="24"/>
        </w:rPr>
        <w:t>Participation</w:t>
      </w:r>
    </w:p>
    <w:p w14:paraId="0E18F12E" w14:textId="2A4F42A2" w:rsidR="00FE13A6" w:rsidRDefault="00FE13A6" w:rsidP="00FE13A6">
      <w:pPr>
        <w:rPr>
          <w:rFonts w:cs="Arial"/>
          <w:sz w:val="24"/>
          <w:szCs w:val="24"/>
        </w:rPr>
      </w:pPr>
      <w:r w:rsidRPr="00385365">
        <w:rPr>
          <w:rFonts w:cs="Arial"/>
          <w:sz w:val="24"/>
          <w:szCs w:val="24"/>
        </w:rPr>
        <w:t xml:space="preserve">Participation is key to achieving much of what the strategy </w:t>
      </w:r>
      <w:proofErr w:type="gramStart"/>
      <w:r w:rsidRPr="00385365">
        <w:rPr>
          <w:rFonts w:cs="Arial"/>
          <w:sz w:val="24"/>
          <w:szCs w:val="24"/>
        </w:rPr>
        <w:t>contains, and</w:t>
      </w:r>
      <w:proofErr w:type="gramEnd"/>
      <w:r w:rsidRPr="00385365">
        <w:rPr>
          <w:rFonts w:cs="Arial"/>
          <w:sz w:val="24"/>
          <w:szCs w:val="24"/>
        </w:rPr>
        <w:t xml:space="preserve"> should be given more emphasis throughout. There is too often a presumption that local and affected communities will act as a barrier to progressive planning. However, where this has happened there has often been a lack of good engagement, support and communication when planning decisions have been made. There is evidence that by working with communities and supporting them to take part in informed</w:t>
      </w:r>
      <w:r w:rsidR="00FE1A02">
        <w:rPr>
          <w:rFonts w:cs="Arial"/>
          <w:sz w:val="24"/>
          <w:szCs w:val="24"/>
        </w:rPr>
        <w:t xml:space="preserve"> dialogue</w:t>
      </w:r>
      <w:r w:rsidRPr="00385365">
        <w:rPr>
          <w:rFonts w:cs="Arial"/>
          <w:sz w:val="24"/>
          <w:szCs w:val="24"/>
        </w:rPr>
        <w:t xml:space="preserve"> from an early stage, decisions and planning can be improved.</w:t>
      </w:r>
    </w:p>
    <w:p w14:paraId="3DBC17EB" w14:textId="4FD8D6EE" w:rsidR="00FE1A02" w:rsidRDefault="00FE1A02" w:rsidP="00FE13A6">
      <w:pPr>
        <w:rPr>
          <w:rFonts w:cs="Arial"/>
          <w:sz w:val="24"/>
          <w:szCs w:val="24"/>
        </w:rPr>
      </w:pPr>
      <w:r>
        <w:rPr>
          <w:rFonts w:cs="Arial"/>
          <w:sz w:val="24"/>
          <w:szCs w:val="24"/>
        </w:rPr>
        <w:t>We propose the following approaches to strengthening participation:</w:t>
      </w:r>
    </w:p>
    <w:p w14:paraId="48E0D770" w14:textId="4F1383F0" w:rsidR="00E43E02" w:rsidRPr="00E43E02" w:rsidRDefault="00E43E02" w:rsidP="00E43E02">
      <w:pPr>
        <w:pStyle w:val="ListParagraph"/>
        <w:numPr>
          <w:ilvl w:val="0"/>
          <w:numId w:val="6"/>
        </w:numPr>
        <w:rPr>
          <w:sz w:val="24"/>
          <w:szCs w:val="24"/>
        </w:rPr>
      </w:pPr>
      <w:r>
        <w:rPr>
          <w:sz w:val="24"/>
          <w:szCs w:val="24"/>
        </w:rPr>
        <w:t>T</w:t>
      </w:r>
      <w:r w:rsidRPr="00E43E02">
        <w:rPr>
          <w:sz w:val="24"/>
          <w:szCs w:val="24"/>
        </w:rPr>
        <w:t>he establishment of a high-level steering or advisory group</w:t>
      </w:r>
      <w:r w:rsidR="00B07AC4">
        <w:rPr>
          <w:sz w:val="24"/>
          <w:szCs w:val="24"/>
        </w:rPr>
        <w:t xml:space="preserve"> for NPF4,</w:t>
      </w:r>
      <w:r w:rsidRPr="00E43E02">
        <w:rPr>
          <w:sz w:val="24"/>
          <w:szCs w:val="24"/>
        </w:rPr>
        <w:t xml:space="preserve"> tasked with engaging with diverse and under-represented voices. The group would include a range of people with roles in relation to areas ranging from equality and inequality through to climate change and depopulation in rural areas. </w:t>
      </w:r>
    </w:p>
    <w:p w14:paraId="4CBA4093" w14:textId="0FDBAED1" w:rsidR="00FE1A02" w:rsidRDefault="00E43E02" w:rsidP="00FE1A02">
      <w:pPr>
        <w:pStyle w:val="ListParagraph"/>
        <w:numPr>
          <w:ilvl w:val="0"/>
          <w:numId w:val="6"/>
        </w:numPr>
        <w:rPr>
          <w:rFonts w:cs="Arial"/>
          <w:sz w:val="24"/>
          <w:szCs w:val="24"/>
        </w:rPr>
      </w:pPr>
      <w:r>
        <w:rPr>
          <w:rFonts w:cs="Arial"/>
          <w:sz w:val="24"/>
          <w:szCs w:val="24"/>
        </w:rPr>
        <w:t>Increased and better co-production and use of participatory democracy approaches, including citizens panels and lived-experience panels.</w:t>
      </w:r>
    </w:p>
    <w:p w14:paraId="6F1A8EB6" w14:textId="77777777" w:rsidR="00E43E02" w:rsidRPr="00E43E02" w:rsidRDefault="00E43E02" w:rsidP="00FE1A02">
      <w:pPr>
        <w:pStyle w:val="ListParagraph"/>
        <w:numPr>
          <w:ilvl w:val="0"/>
          <w:numId w:val="6"/>
        </w:numPr>
        <w:rPr>
          <w:rFonts w:cs="Arial"/>
          <w:sz w:val="24"/>
          <w:szCs w:val="24"/>
        </w:rPr>
      </w:pPr>
      <w:r>
        <w:rPr>
          <w:sz w:val="24"/>
          <w:szCs w:val="24"/>
        </w:rPr>
        <w:t xml:space="preserve">The addition of </w:t>
      </w:r>
      <w:r w:rsidRPr="00385365">
        <w:rPr>
          <w:sz w:val="24"/>
          <w:szCs w:val="24"/>
        </w:rPr>
        <w:t xml:space="preserve">another principle around participation and empowerment, in which planning will reflect the priorities of the people who are affected by it. </w:t>
      </w:r>
      <w:r>
        <w:rPr>
          <w:sz w:val="24"/>
          <w:szCs w:val="24"/>
        </w:rPr>
        <w:t>This</w:t>
      </w:r>
      <w:r w:rsidRPr="00385365">
        <w:rPr>
          <w:sz w:val="24"/>
          <w:szCs w:val="24"/>
        </w:rPr>
        <w:t xml:space="preserve"> would</w:t>
      </w:r>
      <w:r>
        <w:rPr>
          <w:sz w:val="24"/>
          <w:szCs w:val="24"/>
        </w:rPr>
        <w:t xml:space="preserve"> help</w:t>
      </w:r>
      <w:r w:rsidRPr="00385365">
        <w:rPr>
          <w:sz w:val="24"/>
          <w:szCs w:val="24"/>
        </w:rPr>
        <w:t xml:space="preserve"> ensure that the wider principles are founded on good engagement and support for every community to take part.</w:t>
      </w:r>
    </w:p>
    <w:p w14:paraId="3B662088" w14:textId="1942DCE7" w:rsidR="00FE1A02" w:rsidRPr="00E43E02" w:rsidRDefault="00E43E02" w:rsidP="00FE1A02">
      <w:pPr>
        <w:pStyle w:val="ListParagraph"/>
        <w:numPr>
          <w:ilvl w:val="0"/>
          <w:numId w:val="6"/>
        </w:numPr>
        <w:rPr>
          <w:rFonts w:cs="Arial"/>
          <w:sz w:val="24"/>
          <w:szCs w:val="24"/>
        </w:rPr>
      </w:pPr>
      <w:r>
        <w:rPr>
          <w:sz w:val="24"/>
          <w:szCs w:val="24"/>
        </w:rPr>
        <w:t>A greater emphasis on</w:t>
      </w:r>
      <w:r w:rsidR="00FE1A02" w:rsidRPr="00E43E02">
        <w:rPr>
          <w:sz w:val="24"/>
          <w:szCs w:val="24"/>
        </w:rPr>
        <w:t xml:space="preserve"> bottom-up participation, as opposed to top-down engagement such as consultation. Where community-led action plans, local place plans and other community-led efforts to engage (including participation requests) exist, these should be welcomed and integrated into planning at an early stage.</w:t>
      </w:r>
    </w:p>
    <w:p w14:paraId="479AD342" w14:textId="77777777" w:rsidR="00B90E58" w:rsidRDefault="00B90E58" w:rsidP="006C52DE">
      <w:pPr>
        <w:rPr>
          <w:b/>
          <w:bCs/>
          <w:sz w:val="28"/>
          <w:szCs w:val="28"/>
        </w:rPr>
      </w:pPr>
    </w:p>
    <w:p w14:paraId="4FCBC01E" w14:textId="2FD98A49" w:rsidR="00236360" w:rsidRPr="00B90E58" w:rsidRDefault="00236360" w:rsidP="006C52DE">
      <w:pPr>
        <w:rPr>
          <w:b/>
          <w:bCs/>
          <w:sz w:val="28"/>
          <w:szCs w:val="28"/>
        </w:rPr>
      </w:pPr>
      <w:r w:rsidRPr="00B90E58">
        <w:rPr>
          <w:b/>
          <w:bCs/>
          <w:sz w:val="28"/>
          <w:szCs w:val="28"/>
        </w:rPr>
        <w:t>More information</w:t>
      </w:r>
    </w:p>
    <w:p w14:paraId="1AB3F04F" w14:textId="77777777" w:rsidR="00236360" w:rsidRPr="00385365" w:rsidRDefault="00236360" w:rsidP="00236360">
      <w:pPr>
        <w:rPr>
          <w:sz w:val="24"/>
          <w:szCs w:val="24"/>
        </w:rPr>
      </w:pPr>
      <w:r>
        <w:rPr>
          <w:sz w:val="24"/>
          <w:szCs w:val="24"/>
        </w:rPr>
        <w:t>Scottish Community Development Centre is involved in a considerable amount of policy and ‘on-the-</w:t>
      </w:r>
      <w:proofErr w:type="gramStart"/>
      <w:r>
        <w:rPr>
          <w:sz w:val="24"/>
          <w:szCs w:val="24"/>
        </w:rPr>
        <w:t>ground work</w:t>
      </w:r>
      <w:proofErr w:type="gramEnd"/>
      <w:r>
        <w:rPr>
          <w:sz w:val="24"/>
          <w:szCs w:val="24"/>
        </w:rPr>
        <w:t xml:space="preserve">’ in </w:t>
      </w:r>
      <w:r w:rsidRPr="00385365">
        <w:rPr>
          <w:sz w:val="24"/>
          <w:szCs w:val="24"/>
        </w:rPr>
        <w:t xml:space="preserve">relation to planning, </w:t>
      </w:r>
      <w:r>
        <w:rPr>
          <w:sz w:val="24"/>
          <w:szCs w:val="24"/>
        </w:rPr>
        <w:t>including:</w:t>
      </w:r>
    </w:p>
    <w:p w14:paraId="0416C0EC" w14:textId="77777777" w:rsidR="00236360" w:rsidRPr="00385365" w:rsidRDefault="00236360" w:rsidP="00236360">
      <w:pPr>
        <w:pStyle w:val="ListParagraph"/>
        <w:numPr>
          <w:ilvl w:val="0"/>
          <w:numId w:val="2"/>
        </w:numPr>
        <w:rPr>
          <w:sz w:val="24"/>
          <w:szCs w:val="24"/>
        </w:rPr>
      </w:pPr>
      <w:r w:rsidRPr="00385365">
        <w:rPr>
          <w:sz w:val="24"/>
          <w:szCs w:val="24"/>
        </w:rPr>
        <w:t>Contributing a community development perspective to place-based approaches and related concepts such as 20-minute neighbourhood and community wealth building.</w:t>
      </w:r>
    </w:p>
    <w:p w14:paraId="77F3D661" w14:textId="77777777" w:rsidR="00236360" w:rsidRPr="00385365" w:rsidRDefault="00236360" w:rsidP="00236360">
      <w:pPr>
        <w:pStyle w:val="ListParagraph"/>
        <w:numPr>
          <w:ilvl w:val="0"/>
          <w:numId w:val="2"/>
        </w:numPr>
        <w:rPr>
          <w:sz w:val="24"/>
          <w:szCs w:val="24"/>
        </w:rPr>
      </w:pPr>
      <w:r w:rsidRPr="00385365">
        <w:rPr>
          <w:sz w:val="24"/>
          <w:szCs w:val="24"/>
        </w:rPr>
        <w:lastRenderedPageBreak/>
        <w:t>Supporting community organisations and local partners to develop community-led action plans which identify and set out community priorities in relation to planning and other local issues.</w:t>
      </w:r>
    </w:p>
    <w:p w14:paraId="60742D5D" w14:textId="3AB97D28" w:rsidR="00236360" w:rsidRPr="00385365" w:rsidRDefault="00236360" w:rsidP="00236360">
      <w:pPr>
        <w:pStyle w:val="ListParagraph"/>
        <w:numPr>
          <w:ilvl w:val="0"/>
          <w:numId w:val="2"/>
        </w:numPr>
        <w:rPr>
          <w:sz w:val="24"/>
          <w:szCs w:val="24"/>
        </w:rPr>
      </w:pPr>
      <w:r w:rsidRPr="00385365">
        <w:rPr>
          <w:sz w:val="24"/>
          <w:szCs w:val="24"/>
        </w:rPr>
        <w:t xml:space="preserve">Contributing to the development of the Planning (Scotland) Act 2019, specifically around local place plans, involving Scottish Government-commissioned engagement with a range of stakeholders to inform the development of this element of the Act. As part of this work, we developed </w:t>
      </w:r>
      <w:hyperlink r:id="rId8" w:history="1">
        <w:r w:rsidRPr="00236360">
          <w:rPr>
            <w:rStyle w:val="Hyperlink"/>
            <w:sz w:val="24"/>
            <w:szCs w:val="24"/>
          </w:rPr>
          <w:t>the ‘How to’ Guide for Local Place Plans</w:t>
        </w:r>
      </w:hyperlink>
      <w:r w:rsidRPr="00385365">
        <w:rPr>
          <w:sz w:val="24"/>
          <w:szCs w:val="24"/>
        </w:rPr>
        <w:t xml:space="preserve">. </w:t>
      </w:r>
    </w:p>
    <w:p w14:paraId="79CA93D2" w14:textId="77777777" w:rsidR="00236360" w:rsidRDefault="00236360" w:rsidP="00236360">
      <w:pPr>
        <w:pStyle w:val="ListParagraph"/>
        <w:numPr>
          <w:ilvl w:val="0"/>
          <w:numId w:val="2"/>
        </w:numPr>
        <w:rPr>
          <w:sz w:val="24"/>
          <w:szCs w:val="24"/>
        </w:rPr>
      </w:pPr>
      <w:r w:rsidRPr="00385365">
        <w:rPr>
          <w:sz w:val="24"/>
          <w:szCs w:val="24"/>
        </w:rPr>
        <w:t>Responding to Scottish Parliament consultation on the Planning (Scotland) Act.</w:t>
      </w:r>
    </w:p>
    <w:p w14:paraId="5DA646B4" w14:textId="61C57C79" w:rsidR="00236360" w:rsidRDefault="00236360" w:rsidP="00236360">
      <w:pPr>
        <w:pStyle w:val="ListParagraph"/>
        <w:numPr>
          <w:ilvl w:val="0"/>
          <w:numId w:val="2"/>
        </w:numPr>
        <w:rPr>
          <w:sz w:val="24"/>
          <w:szCs w:val="24"/>
        </w:rPr>
      </w:pPr>
      <w:r>
        <w:rPr>
          <w:sz w:val="24"/>
          <w:szCs w:val="24"/>
        </w:rPr>
        <w:t xml:space="preserve">If you want to find out more about planning policy and practice, including helpful links and introductory guides, visit the </w:t>
      </w:r>
      <w:hyperlink r:id="rId9" w:history="1">
        <w:r w:rsidRPr="00236360">
          <w:rPr>
            <w:rStyle w:val="Hyperlink"/>
            <w:sz w:val="24"/>
            <w:szCs w:val="24"/>
          </w:rPr>
          <w:t>local services and planning section of Communities Channel Scotland</w:t>
        </w:r>
      </w:hyperlink>
      <w:r>
        <w:rPr>
          <w:sz w:val="24"/>
          <w:szCs w:val="24"/>
        </w:rPr>
        <w:t>.</w:t>
      </w:r>
      <w:r w:rsidRPr="00236360">
        <w:rPr>
          <w:sz w:val="24"/>
          <w:szCs w:val="24"/>
        </w:rPr>
        <w:t xml:space="preserve"> </w:t>
      </w:r>
    </w:p>
    <w:p w14:paraId="70451462" w14:textId="28C253DB" w:rsidR="0094460A" w:rsidRDefault="0094460A" w:rsidP="0094460A">
      <w:pPr>
        <w:rPr>
          <w:sz w:val="24"/>
          <w:szCs w:val="24"/>
        </w:rPr>
      </w:pPr>
    </w:p>
    <w:p w14:paraId="4217C609" w14:textId="2E37E208" w:rsidR="0094460A" w:rsidRPr="00B90E58" w:rsidRDefault="0094460A" w:rsidP="0094460A">
      <w:pPr>
        <w:rPr>
          <w:b/>
          <w:bCs/>
          <w:sz w:val="28"/>
          <w:szCs w:val="28"/>
        </w:rPr>
      </w:pPr>
      <w:r w:rsidRPr="00B90E58">
        <w:rPr>
          <w:b/>
          <w:bCs/>
          <w:sz w:val="28"/>
          <w:szCs w:val="28"/>
        </w:rPr>
        <w:t>Contact</w:t>
      </w:r>
    </w:p>
    <w:p w14:paraId="30E707A7" w14:textId="30C5A9F9" w:rsidR="0094460A" w:rsidRDefault="0094460A" w:rsidP="0094460A">
      <w:pPr>
        <w:rPr>
          <w:sz w:val="24"/>
          <w:szCs w:val="24"/>
        </w:rPr>
      </w:pPr>
      <w:r>
        <w:rPr>
          <w:sz w:val="24"/>
          <w:szCs w:val="24"/>
        </w:rPr>
        <w:t>Andrew Paterson</w:t>
      </w:r>
    </w:p>
    <w:p w14:paraId="2A167F6A" w14:textId="1F10CDBF" w:rsidR="0094460A" w:rsidRDefault="0094460A" w:rsidP="0094460A">
      <w:pPr>
        <w:rPr>
          <w:sz w:val="24"/>
          <w:szCs w:val="24"/>
        </w:rPr>
      </w:pPr>
      <w:r>
        <w:rPr>
          <w:sz w:val="24"/>
          <w:szCs w:val="24"/>
        </w:rPr>
        <w:t>Policy and Research Officer</w:t>
      </w:r>
    </w:p>
    <w:p w14:paraId="62B1EBB5" w14:textId="4FDF481F" w:rsidR="0094460A" w:rsidRDefault="0094460A" w:rsidP="0094460A">
      <w:pPr>
        <w:rPr>
          <w:sz w:val="24"/>
          <w:szCs w:val="24"/>
        </w:rPr>
      </w:pPr>
      <w:r>
        <w:rPr>
          <w:sz w:val="24"/>
          <w:szCs w:val="24"/>
        </w:rPr>
        <w:t>Scottish Community Development Centre</w:t>
      </w:r>
    </w:p>
    <w:p w14:paraId="43DEAA2C" w14:textId="1B47C637" w:rsidR="0094460A" w:rsidRDefault="00B90E58" w:rsidP="0094460A">
      <w:pPr>
        <w:rPr>
          <w:sz w:val="24"/>
          <w:szCs w:val="24"/>
        </w:rPr>
      </w:pPr>
      <w:r>
        <w:rPr>
          <w:sz w:val="24"/>
          <w:szCs w:val="24"/>
        </w:rPr>
        <w:t xml:space="preserve">Email: </w:t>
      </w:r>
      <w:hyperlink r:id="rId10" w:history="1">
        <w:r w:rsidRPr="003A51F8">
          <w:rPr>
            <w:rStyle w:val="Hyperlink"/>
            <w:sz w:val="24"/>
            <w:szCs w:val="24"/>
          </w:rPr>
          <w:t>andrew@scdc.org.uk</w:t>
        </w:r>
      </w:hyperlink>
    </w:p>
    <w:p w14:paraId="32B433F9" w14:textId="7AACACF9" w:rsidR="00B90E58" w:rsidRDefault="00B90E58" w:rsidP="0094460A">
      <w:pPr>
        <w:rPr>
          <w:sz w:val="24"/>
          <w:szCs w:val="24"/>
        </w:rPr>
      </w:pPr>
      <w:r>
        <w:rPr>
          <w:sz w:val="24"/>
          <w:szCs w:val="24"/>
        </w:rPr>
        <w:t>Phone: 07507 107585</w:t>
      </w:r>
    </w:p>
    <w:p w14:paraId="4D74B85A" w14:textId="77777777" w:rsidR="00B90E58" w:rsidRPr="0094460A" w:rsidRDefault="00B90E58" w:rsidP="0094460A">
      <w:pPr>
        <w:rPr>
          <w:sz w:val="24"/>
          <w:szCs w:val="24"/>
        </w:rPr>
      </w:pPr>
    </w:p>
    <w:p w14:paraId="4877D0DE" w14:textId="77777777" w:rsidR="00236360" w:rsidRPr="00236360" w:rsidRDefault="00236360" w:rsidP="00236360">
      <w:pPr>
        <w:rPr>
          <w:i/>
          <w:iCs/>
          <w:sz w:val="24"/>
          <w:szCs w:val="24"/>
        </w:rPr>
      </w:pPr>
    </w:p>
    <w:p w14:paraId="574E3BAF" w14:textId="77777777" w:rsidR="00236360" w:rsidRPr="00236360" w:rsidRDefault="00236360" w:rsidP="006C52DE">
      <w:pPr>
        <w:rPr>
          <w:b/>
          <w:bCs/>
          <w:sz w:val="24"/>
          <w:szCs w:val="24"/>
        </w:rPr>
      </w:pPr>
    </w:p>
    <w:p w14:paraId="226BB974" w14:textId="77777777" w:rsidR="006C52DE" w:rsidRPr="00385365" w:rsidRDefault="006C52DE" w:rsidP="0083003E">
      <w:pPr>
        <w:rPr>
          <w:sz w:val="24"/>
          <w:szCs w:val="24"/>
        </w:rPr>
      </w:pPr>
    </w:p>
    <w:sectPr w:rsidR="006C52DE" w:rsidRPr="00385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A38"/>
    <w:multiLevelType w:val="hybridMultilevel"/>
    <w:tmpl w:val="9236BC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4007A25"/>
    <w:multiLevelType w:val="hybridMultilevel"/>
    <w:tmpl w:val="6F06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B2724"/>
    <w:multiLevelType w:val="hybridMultilevel"/>
    <w:tmpl w:val="9E6E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C17E0"/>
    <w:multiLevelType w:val="multilevel"/>
    <w:tmpl w:val="6358A6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26513"/>
    <w:multiLevelType w:val="hybridMultilevel"/>
    <w:tmpl w:val="BEE4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40F04"/>
    <w:multiLevelType w:val="hybridMultilevel"/>
    <w:tmpl w:val="484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F54A0"/>
    <w:multiLevelType w:val="hybridMultilevel"/>
    <w:tmpl w:val="6DF0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D7"/>
    <w:rsid w:val="000434E4"/>
    <w:rsid w:val="000A1E88"/>
    <w:rsid w:val="000C0C3E"/>
    <w:rsid w:val="000D739C"/>
    <w:rsid w:val="000F6B0C"/>
    <w:rsid w:val="001628F1"/>
    <w:rsid w:val="001C00C2"/>
    <w:rsid w:val="001D6FB8"/>
    <w:rsid w:val="00236360"/>
    <w:rsid w:val="00241551"/>
    <w:rsid w:val="00281391"/>
    <w:rsid w:val="002B3C04"/>
    <w:rsid w:val="00311BC0"/>
    <w:rsid w:val="00314CE1"/>
    <w:rsid w:val="00344363"/>
    <w:rsid w:val="00362035"/>
    <w:rsid w:val="00363426"/>
    <w:rsid w:val="00376B10"/>
    <w:rsid w:val="00385365"/>
    <w:rsid w:val="0038791F"/>
    <w:rsid w:val="003F4B96"/>
    <w:rsid w:val="0045319B"/>
    <w:rsid w:val="00476401"/>
    <w:rsid w:val="00493353"/>
    <w:rsid w:val="004C0AF1"/>
    <w:rsid w:val="004C63AA"/>
    <w:rsid w:val="004E6B84"/>
    <w:rsid w:val="004F7B71"/>
    <w:rsid w:val="005041E4"/>
    <w:rsid w:val="00504602"/>
    <w:rsid w:val="00525C62"/>
    <w:rsid w:val="0056052F"/>
    <w:rsid w:val="00572475"/>
    <w:rsid w:val="005B3B07"/>
    <w:rsid w:val="005C040F"/>
    <w:rsid w:val="005D54F2"/>
    <w:rsid w:val="005E5C4B"/>
    <w:rsid w:val="00631290"/>
    <w:rsid w:val="00631633"/>
    <w:rsid w:val="006454F5"/>
    <w:rsid w:val="006647EF"/>
    <w:rsid w:val="006A43B5"/>
    <w:rsid w:val="006B5E84"/>
    <w:rsid w:val="006C52DE"/>
    <w:rsid w:val="006F601A"/>
    <w:rsid w:val="00744E16"/>
    <w:rsid w:val="00775344"/>
    <w:rsid w:val="007756D7"/>
    <w:rsid w:val="007800AE"/>
    <w:rsid w:val="00794696"/>
    <w:rsid w:val="007E6D48"/>
    <w:rsid w:val="007F274F"/>
    <w:rsid w:val="0081368D"/>
    <w:rsid w:val="0083003E"/>
    <w:rsid w:val="00862CAE"/>
    <w:rsid w:val="0087228A"/>
    <w:rsid w:val="00874CB2"/>
    <w:rsid w:val="008A0D43"/>
    <w:rsid w:val="008B5F13"/>
    <w:rsid w:val="008E1381"/>
    <w:rsid w:val="008F31F4"/>
    <w:rsid w:val="0090037E"/>
    <w:rsid w:val="00906243"/>
    <w:rsid w:val="00931F2D"/>
    <w:rsid w:val="0094460A"/>
    <w:rsid w:val="009450A7"/>
    <w:rsid w:val="00991718"/>
    <w:rsid w:val="009A18CD"/>
    <w:rsid w:val="009E0CE8"/>
    <w:rsid w:val="009E236B"/>
    <w:rsid w:val="00A96D87"/>
    <w:rsid w:val="00B07AC4"/>
    <w:rsid w:val="00B117F0"/>
    <w:rsid w:val="00B1634D"/>
    <w:rsid w:val="00B24308"/>
    <w:rsid w:val="00B90E58"/>
    <w:rsid w:val="00B969E4"/>
    <w:rsid w:val="00BA61E3"/>
    <w:rsid w:val="00C520FB"/>
    <w:rsid w:val="00C53891"/>
    <w:rsid w:val="00C6653D"/>
    <w:rsid w:val="00CB7507"/>
    <w:rsid w:val="00D07380"/>
    <w:rsid w:val="00D24DDA"/>
    <w:rsid w:val="00D6606B"/>
    <w:rsid w:val="00D72DDB"/>
    <w:rsid w:val="00D82E0F"/>
    <w:rsid w:val="00DF6002"/>
    <w:rsid w:val="00E27531"/>
    <w:rsid w:val="00E34ACC"/>
    <w:rsid w:val="00E43E02"/>
    <w:rsid w:val="00E635BB"/>
    <w:rsid w:val="00E64F73"/>
    <w:rsid w:val="00E71995"/>
    <w:rsid w:val="00EB2C80"/>
    <w:rsid w:val="00EB4865"/>
    <w:rsid w:val="00EF6147"/>
    <w:rsid w:val="00F03887"/>
    <w:rsid w:val="00F31EC2"/>
    <w:rsid w:val="00F552F6"/>
    <w:rsid w:val="00F73E67"/>
    <w:rsid w:val="00FC667C"/>
    <w:rsid w:val="00FD28D9"/>
    <w:rsid w:val="00FE13A6"/>
    <w:rsid w:val="00FE18EC"/>
    <w:rsid w:val="00FE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8795"/>
  <w15:chartTrackingRefBased/>
  <w15:docId w15:val="{921C6E74-097C-4894-B3F0-7C4DD749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62"/>
    <w:pPr>
      <w:ind w:left="720"/>
      <w:contextualSpacing/>
    </w:pPr>
  </w:style>
  <w:style w:type="character" w:styleId="Hyperlink">
    <w:name w:val="Hyperlink"/>
    <w:basedOn w:val="DefaultParagraphFont"/>
    <w:uiPriority w:val="99"/>
    <w:unhideWhenUsed/>
    <w:rsid w:val="0083003E"/>
    <w:rPr>
      <w:color w:val="0000FF"/>
      <w:u w:val="single"/>
    </w:rPr>
  </w:style>
  <w:style w:type="character" w:styleId="Strong">
    <w:name w:val="Strong"/>
    <w:basedOn w:val="DefaultParagraphFont"/>
    <w:uiPriority w:val="22"/>
    <w:qFormat/>
    <w:rsid w:val="0083003E"/>
    <w:rPr>
      <w:b/>
      <w:bCs/>
    </w:rPr>
  </w:style>
  <w:style w:type="character" w:styleId="FollowedHyperlink">
    <w:name w:val="FollowedHyperlink"/>
    <w:basedOn w:val="DefaultParagraphFont"/>
    <w:uiPriority w:val="99"/>
    <w:semiHidden/>
    <w:unhideWhenUsed/>
    <w:rsid w:val="0090037E"/>
    <w:rPr>
      <w:color w:val="954F72" w:themeColor="followedHyperlink"/>
      <w:u w:val="single"/>
    </w:rPr>
  </w:style>
  <w:style w:type="character" w:styleId="UnresolvedMention">
    <w:name w:val="Unresolved Mention"/>
    <w:basedOn w:val="DefaultParagraphFont"/>
    <w:uiPriority w:val="99"/>
    <w:semiHidden/>
    <w:unhideWhenUsed/>
    <w:rsid w:val="00931F2D"/>
    <w:rPr>
      <w:color w:val="605E5C"/>
      <w:shd w:val="clear" w:color="auto" w:fill="E1DFDD"/>
    </w:rPr>
  </w:style>
  <w:style w:type="paragraph" w:styleId="Revision">
    <w:name w:val="Revision"/>
    <w:hidden/>
    <w:uiPriority w:val="99"/>
    <w:semiHidden/>
    <w:rsid w:val="00EF6147"/>
    <w:pPr>
      <w:spacing w:after="0" w:line="240" w:lineRule="auto"/>
    </w:pPr>
  </w:style>
  <w:style w:type="character" w:styleId="CommentReference">
    <w:name w:val="annotation reference"/>
    <w:basedOn w:val="DefaultParagraphFont"/>
    <w:uiPriority w:val="99"/>
    <w:semiHidden/>
    <w:unhideWhenUsed/>
    <w:rsid w:val="00EF6147"/>
    <w:rPr>
      <w:sz w:val="16"/>
      <w:szCs w:val="16"/>
    </w:rPr>
  </w:style>
  <w:style w:type="paragraph" w:styleId="CommentText">
    <w:name w:val="annotation text"/>
    <w:basedOn w:val="Normal"/>
    <w:link w:val="CommentTextChar"/>
    <w:uiPriority w:val="99"/>
    <w:semiHidden/>
    <w:unhideWhenUsed/>
    <w:rsid w:val="00EF6147"/>
    <w:pPr>
      <w:spacing w:line="240" w:lineRule="auto"/>
    </w:pPr>
    <w:rPr>
      <w:sz w:val="20"/>
      <w:szCs w:val="20"/>
    </w:rPr>
  </w:style>
  <w:style w:type="character" w:customStyle="1" w:styleId="CommentTextChar">
    <w:name w:val="Comment Text Char"/>
    <w:basedOn w:val="DefaultParagraphFont"/>
    <w:link w:val="CommentText"/>
    <w:uiPriority w:val="99"/>
    <w:semiHidden/>
    <w:rsid w:val="00EF6147"/>
    <w:rPr>
      <w:sz w:val="20"/>
      <w:szCs w:val="20"/>
    </w:rPr>
  </w:style>
  <w:style w:type="paragraph" w:styleId="CommentSubject">
    <w:name w:val="annotation subject"/>
    <w:basedOn w:val="CommentText"/>
    <w:next w:val="CommentText"/>
    <w:link w:val="CommentSubjectChar"/>
    <w:uiPriority w:val="99"/>
    <w:semiHidden/>
    <w:unhideWhenUsed/>
    <w:rsid w:val="00EF6147"/>
    <w:rPr>
      <w:b/>
      <w:bCs/>
    </w:rPr>
  </w:style>
  <w:style w:type="character" w:customStyle="1" w:styleId="CommentSubjectChar">
    <w:name w:val="Comment Subject Char"/>
    <w:basedOn w:val="CommentTextChar"/>
    <w:link w:val="CommentSubject"/>
    <w:uiPriority w:val="99"/>
    <w:semiHidden/>
    <w:rsid w:val="00EF6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503">
      <w:bodyDiv w:val="1"/>
      <w:marLeft w:val="0"/>
      <w:marRight w:val="0"/>
      <w:marTop w:val="0"/>
      <w:marBottom w:val="0"/>
      <w:divBdr>
        <w:top w:val="none" w:sz="0" w:space="0" w:color="auto"/>
        <w:left w:val="none" w:sz="0" w:space="0" w:color="auto"/>
        <w:bottom w:val="none" w:sz="0" w:space="0" w:color="auto"/>
        <w:right w:val="none" w:sz="0" w:space="0" w:color="auto"/>
      </w:divBdr>
    </w:div>
    <w:div w:id="287707631">
      <w:bodyDiv w:val="1"/>
      <w:marLeft w:val="0"/>
      <w:marRight w:val="0"/>
      <w:marTop w:val="0"/>
      <w:marBottom w:val="0"/>
      <w:divBdr>
        <w:top w:val="none" w:sz="0" w:space="0" w:color="auto"/>
        <w:left w:val="none" w:sz="0" w:space="0" w:color="auto"/>
        <w:bottom w:val="none" w:sz="0" w:space="0" w:color="auto"/>
        <w:right w:val="none" w:sz="0" w:space="0" w:color="auto"/>
      </w:divBdr>
    </w:div>
    <w:div w:id="491415562">
      <w:bodyDiv w:val="1"/>
      <w:marLeft w:val="0"/>
      <w:marRight w:val="0"/>
      <w:marTop w:val="0"/>
      <w:marBottom w:val="0"/>
      <w:divBdr>
        <w:top w:val="none" w:sz="0" w:space="0" w:color="auto"/>
        <w:left w:val="none" w:sz="0" w:space="0" w:color="auto"/>
        <w:bottom w:val="none" w:sz="0" w:space="0" w:color="auto"/>
        <w:right w:val="none" w:sz="0" w:space="0" w:color="auto"/>
      </w:divBdr>
      <w:divsChild>
        <w:div w:id="359402027">
          <w:marLeft w:val="0"/>
          <w:marRight w:val="0"/>
          <w:marTop w:val="0"/>
          <w:marBottom w:val="0"/>
          <w:divBdr>
            <w:top w:val="none" w:sz="0" w:space="0" w:color="auto"/>
            <w:left w:val="none" w:sz="0" w:space="0" w:color="auto"/>
            <w:bottom w:val="none" w:sz="0" w:space="0" w:color="auto"/>
            <w:right w:val="none" w:sz="0" w:space="0" w:color="auto"/>
          </w:divBdr>
          <w:divsChild>
            <w:div w:id="2054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1028">
      <w:bodyDiv w:val="1"/>
      <w:marLeft w:val="0"/>
      <w:marRight w:val="0"/>
      <w:marTop w:val="0"/>
      <w:marBottom w:val="0"/>
      <w:divBdr>
        <w:top w:val="none" w:sz="0" w:space="0" w:color="auto"/>
        <w:left w:val="none" w:sz="0" w:space="0" w:color="auto"/>
        <w:bottom w:val="none" w:sz="0" w:space="0" w:color="auto"/>
        <w:right w:val="none" w:sz="0" w:space="0" w:color="auto"/>
      </w:divBdr>
    </w:div>
    <w:div w:id="1053042554">
      <w:bodyDiv w:val="1"/>
      <w:marLeft w:val="0"/>
      <w:marRight w:val="0"/>
      <w:marTop w:val="0"/>
      <w:marBottom w:val="0"/>
      <w:divBdr>
        <w:top w:val="none" w:sz="0" w:space="0" w:color="auto"/>
        <w:left w:val="none" w:sz="0" w:space="0" w:color="auto"/>
        <w:bottom w:val="none" w:sz="0" w:space="0" w:color="auto"/>
        <w:right w:val="none" w:sz="0" w:space="0" w:color="auto"/>
      </w:divBdr>
      <w:divsChild>
        <w:div w:id="611672099">
          <w:marLeft w:val="0"/>
          <w:marRight w:val="0"/>
          <w:marTop w:val="0"/>
          <w:marBottom w:val="0"/>
          <w:divBdr>
            <w:top w:val="none" w:sz="0" w:space="0" w:color="auto"/>
            <w:left w:val="none" w:sz="0" w:space="0" w:color="auto"/>
            <w:bottom w:val="none" w:sz="0" w:space="0" w:color="auto"/>
            <w:right w:val="none" w:sz="0" w:space="0" w:color="auto"/>
          </w:divBdr>
          <w:divsChild>
            <w:div w:id="4612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534">
      <w:bodyDiv w:val="1"/>
      <w:marLeft w:val="0"/>
      <w:marRight w:val="0"/>
      <w:marTop w:val="0"/>
      <w:marBottom w:val="0"/>
      <w:divBdr>
        <w:top w:val="none" w:sz="0" w:space="0" w:color="auto"/>
        <w:left w:val="none" w:sz="0" w:space="0" w:color="auto"/>
        <w:bottom w:val="none" w:sz="0" w:space="0" w:color="auto"/>
        <w:right w:val="none" w:sz="0" w:space="0" w:color="auto"/>
      </w:divBdr>
    </w:div>
    <w:div w:id="1282494279">
      <w:bodyDiv w:val="1"/>
      <w:marLeft w:val="0"/>
      <w:marRight w:val="0"/>
      <w:marTop w:val="0"/>
      <w:marBottom w:val="0"/>
      <w:divBdr>
        <w:top w:val="none" w:sz="0" w:space="0" w:color="auto"/>
        <w:left w:val="none" w:sz="0" w:space="0" w:color="auto"/>
        <w:bottom w:val="none" w:sz="0" w:space="0" w:color="auto"/>
        <w:right w:val="none" w:sz="0" w:space="0" w:color="auto"/>
      </w:divBdr>
    </w:div>
    <w:div w:id="1843011866">
      <w:bodyDiv w:val="1"/>
      <w:marLeft w:val="0"/>
      <w:marRight w:val="0"/>
      <w:marTop w:val="0"/>
      <w:marBottom w:val="0"/>
      <w:divBdr>
        <w:top w:val="none" w:sz="0" w:space="0" w:color="auto"/>
        <w:left w:val="none" w:sz="0" w:space="0" w:color="auto"/>
        <w:bottom w:val="none" w:sz="0" w:space="0" w:color="auto"/>
        <w:right w:val="none" w:sz="0" w:space="0" w:color="auto"/>
      </w:divBdr>
    </w:div>
    <w:div w:id="1857688145">
      <w:bodyDiv w:val="1"/>
      <w:marLeft w:val="0"/>
      <w:marRight w:val="0"/>
      <w:marTop w:val="0"/>
      <w:marBottom w:val="0"/>
      <w:divBdr>
        <w:top w:val="none" w:sz="0" w:space="0" w:color="auto"/>
        <w:left w:val="none" w:sz="0" w:space="0" w:color="auto"/>
        <w:bottom w:val="none" w:sz="0" w:space="0" w:color="auto"/>
        <w:right w:val="none" w:sz="0" w:space="0" w:color="auto"/>
      </w:divBdr>
    </w:div>
    <w:div w:id="19742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local-place-plans-guide-literature-review-final-report/" TargetMode="External"/><Relationship Id="rId3" Type="http://schemas.openxmlformats.org/officeDocument/2006/relationships/settings" Target="settings.xml"/><Relationship Id="rId7" Type="http://schemas.openxmlformats.org/officeDocument/2006/relationships/hyperlink" Target="https://yourviews.parliament.scot/lgc/npf4/consultation/published_select_respondent?_b_index=60&amp;sort=excerpt&amp;order=asce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gov.scot/local-government-and-communities/draft-national-planning-framework-4/" TargetMode="External"/><Relationship Id="rId11" Type="http://schemas.openxmlformats.org/officeDocument/2006/relationships/fontTable" Target="fontTable.xml"/><Relationship Id="rId5" Type="http://schemas.openxmlformats.org/officeDocument/2006/relationships/hyperlink" Target="https://www.transformingplanning.scot/national-planning-framework/draft-npf4/?id=3904" TargetMode="External"/><Relationship Id="rId10" Type="http://schemas.openxmlformats.org/officeDocument/2006/relationships/hyperlink" Target="mailto:andrew@scdc.org.uk" TargetMode="External"/><Relationship Id="rId4" Type="http://schemas.openxmlformats.org/officeDocument/2006/relationships/webSettings" Target="webSettings.xml"/><Relationship Id="rId9" Type="http://schemas.openxmlformats.org/officeDocument/2006/relationships/hyperlink" Target="https://www.communityscot.org.uk/resources/policy-lowdown/local-services-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Andrew Paterson</cp:lastModifiedBy>
  <cp:revision>3</cp:revision>
  <dcterms:created xsi:type="dcterms:W3CDTF">2022-02-18T15:09:00Z</dcterms:created>
  <dcterms:modified xsi:type="dcterms:W3CDTF">2022-03-07T11:28:00Z</dcterms:modified>
</cp:coreProperties>
</file>